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25D36"/>
    <w:p w14:paraId="3D8C1A1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B13FA3C">
      <w:pPr>
        <w:spacing w:line="540" w:lineRule="exact"/>
        <w:jc w:val="center"/>
        <w:rPr>
          <w:rFonts w:ascii="华文中宋" w:hAnsi="华文中宋" w:eastAsia="华文中宋" w:cs="宋体"/>
          <w:b/>
          <w:kern w:val="0"/>
          <w:sz w:val="52"/>
          <w:szCs w:val="52"/>
        </w:rPr>
      </w:pPr>
    </w:p>
    <w:p w14:paraId="00D6D696">
      <w:pPr>
        <w:spacing w:line="540" w:lineRule="exact"/>
        <w:jc w:val="center"/>
        <w:rPr>
          <w:rFonts w:ascii="华文中宋" w:hAnsi="华文中宋" w:eastAsia="华文中宋" w:cs="宋体"/>
          <w:b/>
          <w:kern w:val="0"/>
          <w:sz w:val="52"/>
          <w:szCs w:val="52"/>
        </w:rPr>
      </w:pPr>
    </w:p>
    <w:p w14:paraId="502B791D">
      <w:pPr>
        <w:spacing w:line="540" w:lineRule="exact"/>
        <w:jc w:val="center"/>
        <w:rPr>
          <w:rFonts w:ascii="华文中宋" w:hAnsi="华文中宋" w:eastAsia="华文中宋" w:cs="宋体"/>
          <w:b/>
          <w:kern w:val="0"/>
          <w:sz w:val="52"/>
          <w:szCs w:val="52"/>
        </w:rPr>
      </w:pPr>
    </w:p>
    <w:p w14:paraId="4BAB6460">
      <w:pPr>
        <w:spacing w:line="540" w:lineRule="exact"/>
        <w:jc w:val="center"/>
        <w:rPr>
          <w:rFonts w:ascii="华文中宋" w:hAnsi="华文中宋" w:eastAsia="华文中宋" w:cs="宋体"/>
          <w:b/>
          <w:kern w:val="0"/>
          <w:sz w:val="52"/>
          <w:szCs w:val="52"/>
        </w:rPr>
      </w:pPr>
    </w:p>
    <w:p w14:paraId="4430E4A5">
      <w:pPr>
        <w:spacing w:line="540" w:lineRule="exact"/>
        <w:jc w:val="center"/>
        <w:rPr>
          <w:rFonts w:ascii="华文中宋" w:hAnsi="华文中宋" w:eastAsia="华文中宋" w:cs="宋体"/>
          <w:b/>
          <w:kern w:val="0"/>
          <w:sz w:val="52"/>
          <w:szCs w:val="52"/>
        </w:rPr>
      </w:pPr>
    </w:p>
    <w:p w14:paraId="6474229B">
      <w:pPr>
        <w:spacing w:line="540" w:lineRule="exact"/>
        <w:jc w:val="center"/>
        <w:rPr>
          <w:rFonts w:ascii="华文中宋" w:hAnsi="华文中宋" w:eastAsia="华文中宋" w:cs="宋体"/>
          <w:b/>
          <w:kern w:val="0"/>
          <w:sz w:val="52"/>
          <w:szCs w:val="52"/>
        </w:rPr>
      </w:pPr>
    </w:p>
    <w:p w14:paraId="19970AF7">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60B58F19">
      <w:pPr>
        <w:spacing w:line="540" w:lineRule="exact"/>
        <w:jc w:val="center"/>
        <w:rPr>
          <w:rFonts w:ascii="华文中宋" w:hAnsi="华文中宋" w:eastAsia="华文中宋" w:cs="宋体"/>
          <w:b/>
          <w:kern w:val="0"/>
          <w:sz w:val="52"/>
          <w:szCs w:val="52"/>
        </w:rPr>
      </w:pPr>
    </w:p>
    <w:p w14:paraId="47E1FE8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BC31678">
      <w:pPr>
        <w:spacing w:line="540" w:lineRule="exact"/>
        <w:jc w:val="center"/>
        <w:rPr>
          <w:rFonts w:hAnsi="宋体" w:eastAsia="仿宋_GB2312" w:cs="宋体"/>
          <w:kern w:val="0"/>
          <w:sz w:val="30"/>
          <w:szCs w:val="30"/>
        </w:rPr>
      </w:pPr>
    </w:p>
    <w:p w14:paraId="1F96C825">
      <w:pPr>
        <w:spacing w:line="540" w:lineRule="exact"/>
        <w:jc w:val="center"/>
        <w:rPr>
          <w:rFonts w:hAnsi="宋体" w:eastAsia="仿宋_GB2312" w:cs="宋体"/>
          <w:kern w:val="0"/>
          <w:sz w:val="30"/>
          <w:szCs w:val="30"/>
        </w:rPr>
      </w:pPr>
    </w:p>
    <w:p w14:paraId="12642596">
      <w:pPr>
        <w:spacing w:line="540" w:lineRule="exact"/>
        <w:jc w:val="center"/>
        <w:rPr>
          <w:rFonts w:hAnsi="宋体" w:eastAsia="仿宋_GB2312" w:cs="宋体"/>
          <w:kern w:val="0"/>
          <w:sz w:val="30"/>
          <w:szCs w:val="30"/>
        </w:rPr>
      </w:pPr>
    </w:p>
    <w:p w14:paraId="08736482">
      <w:pPr>
        <w:spacing w:line="540" w:lineRule="exact"/>
        <w:jc w:val="center"/>
        <w:rPr>
          <w:rFonts w:hAnsi="宋体" w:eastAsia="仿宋_GB2312" w:cs="宋体"/>
          <w:kern w:val="0"/>
          <w:sz w:val="30"/>
          <w:szCs w:val="30"/>
        </w:rPr>
      </w:pPr>
    </w:p>
    <w:p w14:paraId="78351F61">
      <w:pPr>
        <w:spacing w:line="540" w:lineRule="exact"/>
        <w:jc w:val="center"/>
        <w:rPr>
          <w:rFonts w:hAnsi="宋体" w:eastAsia="仿宋_GB2312" w:cs="宋体"/>
          <w:kern w:val="0"/>
          <w:sz w:val="30"/>
          <w:szCs w:val="30"/>
        </w:rPr>
      </w:pPr>
    </w:p>
    <w:p w14:paraId="37A0E631">
      <w:pPr>
        <w:spacing w:line="540" w:lineRule="exact"/>
        <w:rPr>
          <w:rFonts w:hAnsi="宋体" w:eastAsia="仿宋_GB2312" w:cs="宋体"/>
          <w:kern w:val="0"/>
          <w:sz w:val="30"/>
          <w:szCs w:val="30"/>
        </w:rPr>
      </w:pPr>
    </w:p>
    <w:p w14:paraId="3ACD735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E17FDC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2024年上半年自治区驻村工作专项经费补助</w:t>
      </w:r>
    </w:p>
    <w:p w14:paraId="7C13015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托里县乌雪特乡人民政府</w:t>
      </w:r>
    </w:p>
    <w:p w14:paraId="0503F52E">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托里县乌雪特乡人民政府</w:t>
      </w:r>
    </w:p>
    <w:p w14:paraId="06984C7E">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关娟</w:t>
      </w:r>
    </w:p>
    <w:p w14:paraId="40F4BC79">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2025年03月26日</w:t>
      </w:r>
    </w:p>
    <w:p w14:paraId="631F6DEE">
      <w:pPr>
        <w:spacing w:line="700" w:lineRule="exact"/>
        <w:ind w:firstLine="708" w:firstLineChars="236"/>
        <w:jc w:val="left"/>
        <w:rPr>
          <w:rFonts w:hAnsi="宋体" w:eastAsia="仿宋_GB2312" w:cs="宋体"/>
          <w:kern w:val="0"/>
          <w:sz w:val="30"/>
          <w:szCs w:val="30"/>
        </w:rPr>
      </w:pPr>
    </w:p>
    <w:p w14:paraId="2C885864">
      <w:pPr>
        <w:spacing w:line="540" w:lineRule="exact"/>
        <w:rPr>
          <w:rStyle w:val="19"/>
          <w:rFonts w:ascii="黑体" w:hAnsi="黑体" w:eastAsia="黑体"/>
          <w:b w:val="0"/>
          <w:spacing w:val="-4"/>
          <w:sz w:val="32"/>
          <w:szCs w:val="32"/>
        </w:rPr>
      </w:pPr>
    </w:p>
    <w:p w14:paraId="1E21E9A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14:paraId="405882D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14:paraId="31D68A3B">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1.项目背景</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为落实自治区党委政府关于基层治理和乡村振兴的工作部署，通过中央财政补助资金59.96万元，重点保障乌雪特乡9个村队开展群众慰问、走访调研及村庄发展规 划制定等基层服务，旨在强化党群联系、提升基层治理效能，并通过规范资金使用，调动驻村干部工作积极性，推动脱贫攻 坚成果巩固与乡村振兴衔接。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2.项目主要内容：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项目主要内容：覆盖9个村队（</w:t>
      </w:r>
      <w:bookmarkStart w:id="0" w:name="_GoBack"/>
      <w:bookmarkEnd w:id="0"/>
      <w:r>
        <w:rPr>
          <w:rStyle w:val="19"/>
          <w:rFonts w:hint="eastAsia" w:ascii="楷体" w:hAnsi="楷体" w:eastAsia="楷体"/>
          <w:spacing w:val="-4"/>
          <w:sz w:val="32"/>
          <w:szCs w:val="32"/>
        </w:rPr>
        <w:t>克孜勒克亚村、达尔布特村、 井什克苏村、井什克苏中村、布尔克塔勒村、玛依哈巴克村、库木托别村、莫德纳巴村、哈赞库木村），保障9村队工作经费，包 括群众慰问、走访调研、发展规划制定等。最终密切党群关系、 解决群众实际问题、提升干部工作积极性。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项目实施情况：项目预算资金 60万元，实际执行59.96 万元（执行率 99.93%），覆盖9个村队并保障9个工作经费，资金支付合规率及时率均达100%，所有村队经费均控制在预算范围内（其中达尔布特村村支出9.96万元，剩余400元因无法开具发票未支付）；项目实施有效支持驻村干部开展群众慰问、走访调研及村庄发展规划制定，显著提高工作积极性并密切党群关系，受益驻村干部及村干部总体满意度达95%，所有绩效指标均按计划完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3.资金投入和使用情况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（1）资金投入情况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该项目年初预算数60万元，全年预算数59.96万元，该项目资金已全部落实到位，资金来源为财政拨款。</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（2）资金使用情况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年初预算数60万元，全年预算数60万元，全年执行数59.96万元，预算执行率为99.93%，主要用于：支付9个村队的工作经费，保障村干部开展群众慰问、走访调研及村庄发展规划制定等工作，通过资金支付有效解决群众实际问题、密切党群关系，并显著提升驻村干部工作积极性。</w:t>
      </w:r>
    </w:p>
    <w:p w14:paraId="2E0D0F71">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14:paraId="3370572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1.总体目标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项目资金 59.96 万元，用于 9个保障村队工作经费，保障 村干部开展工作、慰问群众、走访调查驻村任职干部应深入了解所在村庄的实际情况，推进工作的落实。通过实地调研和摸底工作，为制定并修订完善村庄的发展规划提供科学依据。他们要倾听群众呼声，关心群众疾苦，积极帮助困难群众解决实际问题，密切党和人民群众的关系，使党群之间形成更紧密的血肉联系。驻村干部要以身作则，朴素节俭，严于律己。通过自己的榜样作用，引导村组干部在压力环境下保持乡土风貌，以求真务实的作风影响他们，为改变干部作风起到良好的表率作用，通过与农户深入交流，了解他们的需求和困难，驻村干部可以激发农民的内生动力，增强他们的自我发展能力，帮助他们摆脱贫困。受益群众满意度达到 95%。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2.阶段性目标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年中目标：完成资金支付达到60%。实地调研和摸底工作初步完成，制定并修订完善村庄的发展规划初稿。</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 年终目标：完成资金支付达到99.6%以上，积极帮助困难群众解决实际问题，密切党和人民群众的关系，使党群之间形成更紧密的血肉联系。驻村干部要以身作则，朴素节俭，严于律己。</w:t>
      </w:r>
    </w:p>
    <w:p w14:paraId="450CFA0D">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14:paraId="4BDA407B">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14:paraId="4CC3A30F">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1.绩效评价完整性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指标体系的构建上，充分考虑了项目的性质、目标以及预期成果，选取了具有代表性和可衡量性的关键指标，涵盖了经济效益维度，力求全方位反映项目的绩效状况。同时，对于每个指标的评价标准和数据来源均进行了明确说明，确保评价结果的客观性和可追溯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2.绩效评价的目的</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（1）评估项目实施效果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通过对项目预算执行情况及各项绩效目标达成程度的系统性分析，全面、客观地评估项目在预定周期内的实施效果，包括社会效益维度指标，为项目后续的改进与优化提供科学依据。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（2）提升资源利用效率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（3）强化项目管理责任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（4）为决策提供支持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（5）促进项目持续改进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3.绩效评价的对象</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本项目预算绩效评价报告的评价对象是托里县乌雪特乡2024年驻村工作经费及其预算执行情况。该项目由党建办负责实施，旨在保障村队开展工作、慰问 群众、走访调查驻村任职干部应深入了解所在村庄的实际情况， 推进工作的落实。项目预算涵盖从2024年1月1日至2024年12月26日的全部资金投入与支出，涉及资金总额为59.96万元。</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4.绩效评价的范围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（1）项目预算编制与执行：全面审视项目预算的编制依据、合理性、科学性以及实际执行情况，包括预算调整的原因和效果。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（2）资金管理：深入分析项目资金的分配、使用和监管情况，确保资金使用的合规性、高效性和透明度。</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（4）社会影响：考察项目对社会方面的影响。</w:t>
      </w:r>
    </w:p>
    <w:p w14:paraId="3B2EB7E7">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14:paraId="44533B47">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1.绩效评价原则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本次项目绩效评价遵循以下基本原则：</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（1）科学公正。绩效评价应当运用科学合理的方法，按照规范的程序，对项目绩效进行客观、公正的反映。</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（4）公开透明。绩效评价结果应依法依规公开，并自觉接受社会监督。</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2.评价指标体系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（1）确定评价指标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（2）确定权重</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（3）确定指标标准值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绩效评价总分值100分，根据综合评分结果，90（含）-100分为优、80（含）-90分为良、60（含）-80分为中、60分以下为差。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具体评价指标体系详情见附件1</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3.绩效评价方法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绩效评价从项目决策、项目过程、项目产出、项目效益四个维度进行评价。评价对象为项目目标实施情况，  评价核心为资金的支出完成情况和项目的产出效益。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本次评价指标中，既有定性指标又有定量指标，各类指标因考核内容不同和客观标准不同存在较大差异，因此核定具体指标时采用了不同方法，具体评价方法如下：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 xml:space="preserve">（一）成本效益分析法。是指将投入与产出、效益进行关联性分析的方法，明确资金使用情况：通过成本法可以详细核算驻村工作队开展工作所需的各项直接成本，如办公设备购置、交通差旅费、培训费用等，以及村干部履行职责过程中的相关成本，如误工补贴、办公用品消耗等，能清晰了解每一笔经费的具体去向和用途。 </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因素分析法。是指综合分析影响绩效目标实现、实施效果的内外部因素的方法。能根据不同村队的具体情况进行精准分析和差异化对待，避免“一刀切”的经费分配和报酬确定方式，确保经费当地的实际工作需求相适应，提高资金使用效率和激励效果，更好地调动驻村工作队工作积极性和主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（七）其他评价方法。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绩效评价标准通常包括计划标准、行业标准、历史标准等，用于对绩效指标完成情况进行比较、分析、评价。本次评价主要采用了计划标准。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（1）计划标准。指以预先制定的目标、计划、预算、定额等作为评价标准。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（2）行业标准。指参照国家公布的行业指标数据制定的评价标准。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（3）历史标准。指参照历史数据制定的评价标准，为体现绩效改进的原则，在可实现的条件下应当确定相对较高的评价标准。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（4）财政部门和预算部门确认或认可的其他标准。</w:t>
      </w:r>
    </w:p>
    <w:p w14:paraId="4F878A06">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14:paraId="3ABD5FDA">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（1）前期准备与规划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（2）指标体系构建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（3）数据收集与整理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（4）数据分析与评估</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（5）报告撰写与反馈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（6）后续跟踪与改进</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F773D0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14:paraId="2FF17A71">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14:paraId="516EEB4D">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（一）评价情况</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综合评价基于对项目各方面绩效的深入分析与评估。从项目目标的达成情况来看，托里县乌雪特乡2024年上半年自治区为民办实事工作经费在保障村队数量等方面表现出色，达到了预期的标准与要求。同时，项目也在资金支付与合规性取得了显著的成效，资金拨付合规率100%、资金拨付及时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在项目管理方面，党政办通过有效的规划、组织与协调，项目得以顺利实施，并在预算与时间上保持了良好的控制。</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从项目效益的角度来看，本项目不仅实现了预期的社会效益等方面产生了积极的影响。具体而言提高驻村干部工作积极 性方面的提升等方面的提升，为项目的利益相关者带来了实实在在的利益。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综上所述，托里县乌雪特乡 2024年上半年自治区为民办实 事工作经费在绩效评价中表现出色，达到了项目的预期目标，并在多个方面取得了显著的成效。</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（二）评价结论</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 99分，属于“优（良/中/差）”。其中，项目决策类指标权重为20分，得分为 20分，得分率为 100%。项目过程类指标权重为20分，得分为19分，得分率为 95%。项目产出类指标权重为40分，得分为39分，得分率为 97.5%。项目效益类指标权重为20分，得分为20分，得分率为100%。具体打分情况详见：附件1综合评分表。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表1综合评分表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一级指标</w:t>
      </w:r>
      <w:r>
        <w:rPr>
          <w:rStyle w:val="19"/>
          <w:rFonts w:hint="eastAsia" w:ascii="楷体" w:hAnsi="楷体" w:eastAsia="楷体"/>
          <w:spacing w:val="-4"/>
          <w:sz w:val="32"/>
          <w:szCs w:val="32"/>
        </w:rPr>
        <w:tab/>
      </w:r>
      <w:r>
        <w:rPr>
          <w:rStyle w:val="19"/>
          <w:rFonts w:hint="eastAsia" w:ascii="楷体" w:hAnsi="楷体" w:eastAsia="楷体"/>
          <w:spacing w:val="-4"/>
          <w:sz w:val="32"/>
          <w:szCs w:val="32"/>
        </w:rPr>
        <w:t>权重分</w:t>
      </w:r>
      <w:r>
        <w:rPr>
          <w:rStyle w:val="19"/>
          <w:rFonts w:hint="eastAsia" w:ascii="楷体" w:hAnsi="楷体" w:eastAsia="楷体"/>
          <w:spacing w:val="-4"/>
          <w:sz w:val="32"/>
          <w:szCs w:val="32"/>
        </w:rPr>
        <w:tab/>
      </w:r>
      <w:r>
        <w:rPr>
          <w:rStyle w:val="19"/>
          <w:rFonts w:hint="eastAsia" w:ascii="楷体" w:hAnsi="楷体" w:eastAsia="楷体"/>
          <w:spacing w:val="-4"/>
          <w:sz w:val="32"/>
          <w:szCs w:val="32"/>
        </w:rPr>
        <w:t>得分</w:t>
      </w:r>
      <w:r>
        <w:rPr>
          <w:rStyle w:val="19"/>
          <w:rFonts w:hint="eastAsia" w:ascii="楷体" w:hAnsi="楷体" w:eastAsia="楷体"/>
          <w:spacing w:val="-4"/>
          <w:sz w:val="32"/>
          <w:szCs w:val="32"/>
        </w:rPr>
        <w:tab/>
      </w:r>
      <w:r>
        <w:rPr>
          <w:rStyle w:val="19"/>
          <w:rFonts w:hint="eastAsia" w:ascii="楷体" w:hAnsi="楷体" w:eastAsia="楷体"/>
          <w:spacing w:val="-4"/>
          <w:sz w:val="32"/>
          <w:szCs w:val="32"/>
        </w:rPr>
        <w:t>得分率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项目决策</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项目过程</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19</w:t>
      </w:r>
      <w:r>
        <w:rPr>
          <w:rStyle w:val="19"/>
          <w:rFonts w:hint="eastAsia" w:ascii="楷体" w:hAnsi="楷体" w:eastAsia="楷体"/>
          <w:spacing w:val="-4"/>
          <w:sz w:val="32"/>
          <w:szCs w:val="32"/>
        </w:rPr>
        <w:tab/>
      </w:r>
      <w:r>
        <w:rPr>
          <w:rStyle w:val="19"/>
          <w:rFonts w:hint="eastAsia" w:ascii="楷体" w:hAnsi="楷体" w:eastAsia="楷体"/>
          <w:spacing w:val="-4"/>
          <w:sz w:val="32"/>
          <w:szCs w:val="32"/>
        </w:rPr>
        <w:t>95%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项目产出</w:t>
      </w:r>
      <w:r>
        <w:rPr>
          <w:rStyle w:val="19"/>
          <w:rFonts w:hint="eastAsia" w:ascii="楷体" w:hAnsi="楷体" w:eastAsia="楷体"/>
          <w:spacing w:val="-4"/>
          <w:sz w:val="32"/>
          <w:szCs w:val="32"/>
        </w:rPr>
        <w:tab/>
      </w:r>
      <w:r>
        <w:rPr>
          <w:rStyle w:val="19"/>
          <w:rFonts w:hint="eastAsia" w:ascii="楷体" w:hAnsi="楷体" w:eastAsia="楷体"/>
          <w:spacing w:val="-4"/>
          <w:sz w:val="32"/>
          <w:szCs w:val="32"/>
        </w:rPr>
        <w:t>40</w:t>
      </w:r>
      <w:r>
        <w:rPr>
          <w:rStyle w:val="19"/>
          <w:rFonts w:hint="eastAsia" w:ascii="楷体" w:hAnsi="楷体" w:eastAsia="楷体"/>
          <w:spacing w:val="-4"/>
          <w:sz w:val="32"/>
          <w:szCs w:val="32"/>
        </w:rPr>
        <w:tab/>
      </w:r>
      <w:r>
        <w:rPr>
          <w:rStyle w:val="19"/>
          <w:rFonts w:hint="eastAsia" w:ascii="楷体" w:hAnsi="楷体" w:eastAsia="楷体"/>
          <w:spacing w:val="-4"/>
          <w:sz w:val="32"/>
          <w:szCs w:val="32"/>
        </w:rPr>
        <w:t>39</w:t>
      </w:r>
      <w:r>
        <w:rPr>
          <w:rStyle w:val="19"/>
          <w:rFonts w:hint="eastAsia" w:ascii="楷体" w:hAnsi="楷体" w:eastAsia="楷体"/>
          <w:spacing w:val="-4"/>
          <w:sz w:val="32"/>
          <w:szCs w:val="32"/>
        </w:rPr>
        <w:tab/>
      </w:r>
      <w:r>
        <w:rPr>
          <w:rStyle w:val="19"/>
          <w:rFonts w:hint="eastAsia" w:ascii="楷体" w:hAnsi="楷体" w:eastAsia="楷体"/>
          <w:spacing w:val="-4"/>
          <w:sz w:val="32"/>
          <w:szCs w:val="32"/>
        </w:rPr>
        <w:t>97.5%</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项目效益</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20</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合计</w:t>
      </w:r>
      <w:r>
        <w:rPr>
          <w:rStyle w:val="19"/>
          <w:rFonts w:hint="eastAsia" w:ascii="楷体" w:hAnsi="楷体" w:eastAsia="楷体"/>
          <w:spacing w:val="-4"/>
          <w:sz w:val="32"/>
          <w:szCs w:val="32"/>
        </w:rPr>
        <w:tab/>
      </w:r>
      <w:r>
        <w:rPr>
          <w:rStyle w:val="19"/>
          <w:rFonts w:hint="eastAsia" w:ascii="楷体" w:hAnsi="楷体" w:eastAsia="楷体"/>
          <w:spacing w:val="-4"/>
          <w:sz w:val="32"/>
          <w:szCs w:val="32"/>
        </w:rPr>
        <w:t>100</w:t>
      </w:r>
      <w:r>
        <w:rPr>
          <w:rStyle w:val="19"/>
          <w:rFonts w:hint="eastAsia" w:ascii="楷体" w:hAnsi="楷体" w:eastAsia="楷体"/>
          <w:spacing w:val="-4"/>
          <w:sz w:val="32"/>
          <w:szCs w:val="32"/>
        </w:rPr>
        <w:tab/>
      </w:r>
      <w:r>
        <w:rPr>
          <w:rStyle w:val="19"/>
          <w:rFonts w:hint="eastAsia" w:ascii="楷体" w:hAnsi="楷体" w:eastAsia="楷体"/>
          <w:spacing w:val="-4"/>
          <w:sz w:val="32"/>
          <w:szCs w:val="32"/>
        </w:rPr>
        <w:t>98</w:t>
      </w:r>
      <w:r>
        <w:rPr>
          <w:rStyle w:val="19"/>
          <w:rFonts w:hint="eastAsia" w:ascii="楷体" w:hAnsi="楷体" w:eastAsia="楷体"/>
          <w:spacing w:val="-4"/>
          <w:sz w:val="32"/>
          <w:szCs w:val="32"/>
        </w:rPr>
        <w:tab/>
      </w:r>
      <w:r>
        <w:rPr>
          <w:rStyle w:val="19"/>
          <w:rFonts w:hint="eastAsia" w:ascii="楷体" w:hAnsi="楷体" w:eastAsia="楷体"/>
          <w:spacing w:val="-4"/>
          <w:sz w:val="32"/>
          <w:szCs w:val="32"/>
        </w:rPr>
        <w:t>98%</w:t>
      </w:r>
    </w:p>
    <w:p w14:paraId="44FDF982">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14:paraId="5F94433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项目决策类指标包括项目立项、绩效目标和资金投入三方面的内容，由12个三级指标构成，权重分值为20分，实际得分20分，得分率为100%。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1.项目立项</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（1）立项依据充分性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（2）立项程序规范性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2.绩效目标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（1）绩效目标合理性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（2）绩效指标明确性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3.资金投入</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（1）预算编制科学性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（2）资金分配合理性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0277E927">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14:paraId="30052FB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14:paraId="176FB74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项目过程类指标包括资金管理和组织实施两方面的内容，由5个三级指标构成，权重分值为20分，实际得分20分，得分率为100%。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（1）资金到位率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本项目总投资60万元，财政资金及时足额到位，到位率100%，预算资金按计划进度执行。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（2）预算执行率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预算编制较为详细，项目资金支出总体能够按照预算执行，预算资金支出59.96万元，预算执行率为99.96%。</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（3）资金使用合规性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本项目的资金使用严格遵循了国家相关法律法规与财务制度，确保了资金的合规性与安全性。在资金使用过程中，我们建立了完善的财务管理体系，对资金的流动进行了全程监控与记录。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2.组织实施</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（1）管理制度健全性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在制度设计上，我们注重了制度的科学性与可操作性，确保制度能够切实指导项目的执行与管理。</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（2）制度执行有效性</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综上所述，本项目的管理制度在执行过程中表现出了高度的有效性，既确保了项目的顺利进行，又实现了项目目标的有效达成。</w:t>
      </w:r>
    </w:p>
    <w:p w14:paraId="1D644FD5">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14:paraId="35C1B2DC">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项目产出类指标包括产出数量、产出质量、产出时效、产出成本四方面的内容，由14个三级指标构成，权重分为40分，实际得分39分，得分率为97.5%。具体产出指标完成情况如下：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①数量指标：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指标1：保障村队数量，指标值：≥9个，实际完成值：9个，指标完成率100%，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②质量指标：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指标1：资金拨付合规率，指标值：=100%，实际完成值：100%，指标完成率100%。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③时效指标：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指标1：资金拨付及时率，指标值：=100%，实际完成值： 100%，指标完成率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④成本指标：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指标1：玛依哈巴克村驻村工作队经费，指标值：&lt;=5 万元，实际完成值：4.99万元，指标完成率99.8%。偏差原因：因无法开具发票未支付；改进措施：结转2025年度继续支付。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指标2：哈赞库木村驻村工作队经费，指标值：&lt;=5 万元， 实际完成值：5万元，指标完成率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指标3：井什克苏村驻村工作队经费，指标值：&lt;=5 万元， 实际完成值：5万元，指标完成率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指标4：莫德纳巴村驻村工作队经费，指标值：&lt;=5 万元， 实际完成值：5万元，指标完成率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指标5：克孜勒克亚村驻村工作队经费，指标值：&lt;=10万元， 实际完成值：10万元，指标完成率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指标6：布尔克塔勒村驻村工作队经费，指标值：&lt;=5万元， 实际完成值：4.99万元，指标完成率 99.8%。偏差原因：因无法开具发票未支付；改进措施：结转2025年度继续支付。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指标7：库木托别村驻村工作队经费，指标值：&lt;=10万元， 实际完成值：10万元，指标完成率 100%。</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指标:8：井什克苏中村驻村工作队经费，指标值：&lt;=5万元， 实际完成值：4.98万元，指标完成率 99.6%。偏差原因：因无法开具发票未支付；改进措施：结转2025年度继续支付。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指标9：达尔布特村驻村驻村工作队经费，指标值：&lt;=10万元， 实际完成值：9.99万元，指标完成率 99.9%。偏差原因：因无法开具发票未支付；改进措施：结转2025年度继续支付。</w:t>
      </w:r>
    </w:p>
    <w:p w14:paraId="6689C42B">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14:paraId="067FF46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14:paraId="6E72714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项目效益类指标包括项目实施效益和满意度两方面的内容，由2个三级指标构成，权重分为20分，实际得分20分，得分率为100%。具体效益指标及满意度指标完成情况如下：</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1.实施效益</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②社会效益指标：</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指标1：提高驻村干部工作积极性，指标值：有效提高， 实际完成值：有效提高，指标完成率 100%。</w:t>
      </w:r>
    </w:p>
    <w:p w14:paraId="5E6B8FED">
      <w:pPr>
        <w:spacing w:line="540" w:lineRule="exact"/>
        <w:ind w:firstLine="567" w:firstLineChars="181"/>
        <w:rPr>
          <w:rFonts w:ascii="楷体" w:hAnsi="楷体" w:eastAsia="楷体"/>
          <w:b/>
          <w:spacing w:val="-4"/>
          <w:sz w:val="32"/>
          <w:szCs w:val="32"/>
        </w:rPr>
      </w:pPr>
    </w:p>
    <w:p w14:paraId="4B99CCE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14:paraId="6493C584">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指标 1：驻村工作队满意度，指标值：&gt;=95%，实际完成 值：95%，指标完成率 100%。</w:t>
      </w:r>
    </w:p>
    <w:p w14:paraId="30B711C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14:paraId="6DFC1C25">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托里县乌雪特2024年上半年自治区为民办实事工作经费项目年初预算60万元，全年预算60万元，实际支出59.96万元，预算执行率为99.93%，项目绩效指标总体完成率为99.94%，总体偏差率为0.06%，偏差原因剩余312.36元因无法开具发票未支付，改进措施结转2025年度继续支付。</w:t>
      </w:r>
    </w:p>
    <w:p w14:paraId="2DCD6981">
      <w:pPr>
        <w:spacing w:line="540" w:lineRule="exact"/>
        <w:ind w:firstLine="567" w:firstLineChars="181"/>
        <w:rPr>
          <w:rFonts w:ascii="楷体" w:hAnsi="楷体" w:eastAsia="楷体"/>
          <w:b/>
          <w:spacing w:val="-4"/>
          <w:sz w:val="32"/>
          <w:szCs w:val="32"/>
        </w:rPr>
      </w:pPr>
    </w:p>
    <w:p w14:paraId="45266996">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14:paraId="7C6135AB">
      <w:pPr>
        <w:ind w:firstLine="624" w:firstLineChars="200"/>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14:paraId="19A8EDFE">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（一）主要经验及做法</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（二）存在的问题及原因分析</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1.相关绩效管理方面专业知识的系统性学习有待加强。各项指标的设置要进一步优化、完善，主要在细化、量化上改进。在绩效自评过程中，</w:t>
      </w:r>
      <w:r>
        <w:rPr>
          <w:rStyle w:val="19"/>
          <w:rFonts w:hint="eastAsia" w:ascii="楷体" w:hAnsi="楷体" w:eastAsia="楷体"/>
          <w:spacing w:val="-4"/>
          <w:sz w:val="32"/>
          <w:szCs w:val="32"/>
          <w:lang w:val="en-US" w:eastAsia="zh-CN"/>
        </w:rPr>
        <w:t>由于部分人员</w:t>
      </w:r>
      <w:r>
        <w:rPr>
          <w:rStyle w:val="19"/>
          <w:rFonts w:hint="eastAsia" w:ascii="楷体" w:hAnsi="楷体" w:eastAsia="楷体"/>
          <w:spacing w:val="-4"/>
          <w:sz w:val="32"/>
          <w:szCs w:val="32"/>
        </w:rPr>
        <w:t>缺乏相关绩效管理专业知识，自评价工作还存在自我审定的局限性，影响评价质量。</w:t>
      </w:r>
      <w:r>
        <w:cr/>
      </w:r>
      <w:r>
        <w:rPr>
          <w:rFonts w:hint="eastAsia" w:ascii="楷体" w:hAnsi="楷体" w:eastAsia="楷体"/>
          <w:spacing w:val="-4"/>
          <w:sz w:val="32"/>
          <w:szCs w:val="32"/>
        </w:rPr>
        <w:br w:type="textWrapping"/>
      </w:r>
      <w:r>
        <w:rPr>
          <w:rStyle w:val="19"/>
          <w:rFonts w:hint="eastAsia" w:ascii="楷体" w:hAnsi="楷体" w:eastAsia="楷体"/>
          <w:spacing w:val="-4"/>
          <w:sz w:val="32"/>
          <w:szCs w:val="32"/>
        </w:rPr>
        <w:t>2.因轮岗、调动等因素使我单位绩效工作人员流动频繁，造成工作衔接不到位的情况。</w:t>
      </w:r>
    </w:p>
    <w:p w14:paraId="0EC4A49D">
      <w:pPr>
        <w:ind w:firstLine="624" w:firstLineChars="200"/>
        <w:rPr>
          <w:rFonts w:ascii="仿宋_GB2312" w:eastAsia="仿宋_GB2312"/>
          <w:spacing w:val="-4"/>
          <w:sz w:val="32"/>
          <w:szCs w:val="32"/>
        </w:rPr>
      </w:pPr>
    </w:p>
    <w:p w14:paraId="0F0D438D">
      <w:pPr>
        <w:spacing w:line="540" w:lineRule="exact"/>
        <w:ind w:firstLine="567"/>
        <w:rPr>
          <w:rStyle w:val="19"/>
          <w:rFonts w:ascii="仿宋" w:hAnsi="仿宋" w:eastAsia="仿宋"/>
          <w:b w:val="0"/>
          <w:spacing w:val="-4"/>
          <w:sz w:val="32"/>
          <w:szCs w:val="32"/>
        </w:rPr>
      </w:pPr>
    </w:p>
    <w:p w14:paraId="2C6CD811">
      <w:pPr>
        <w:spacing w:line="540" w:lineRule="exact"/>
        <w:ind w:firstLine="567"/>
        <w:rPr>
          <w:rStyle w:val="19"/>
          <w:rFonts w:ascii="仿宋" w:hAnsi="仿宋" w:eastAsia="仿宋"/>
          <w:b w:val="0"/>
          <w:spacing w:val="-4"/>
          <w:sz w:val="32"/>
          <w:szCs w:val="32"/>
        </w:rPr>
      </w:pPr>
    </w:p>
    <w:p w14:paraId="15249A51">
      <w:pPr>
        <w:spacing w:line="540" w:lineRule="exact"/>
        <w:ind w:firstLine="567"/>
        <w:rPr>
          <w:rStyle w:val="19"/>
          <w:rFonts w:ascii="仿宋" w:hAnsi="仿宋" w:eastAsia="仿宋"/>
          <w:b w:val="0"/>
          <w:spacing w:val="-4"/>
          <w:sz w:val="32"/>
          <w:szCs w:val="32"/>
        </w:rPr>
      </w:pPr>
    </w:p>
    <w:p w14:paraId="181EE8B5">
      <w:pPr>
        <w:spacing w:line="540" w:lineRule="exact"/>
        <w:ind w:firstLine="567"/>
        <w:rPr>
          <w:rStyle w:val="19"/>
          <w:rFonts w:ascii="仿宋" w:hAnsi="仿宋" w:eastAsia="仿宋"/>
          <w:b w:val="0"/>
          <w:spacing w:val="-4"/>
          <w:sz w:val="32"/>
          <w:szCs w:val="32"/>
        </w:rPr>
      </w:pPr>
    </w:p>
    <w:p w14:paraId="570682F6">
      <w:pPr>
        <w:spacing w:line="540" w:lineRule="exact"/>
        <w:ind w:firstLine="567"/>
        <w:rPr>
          <w:rStyle w:val="19"/>
          <w:rFonts w:ascii="仿宋" w:hAnsi="仿宋" w:eastAsia="仿宋"/>
          <w:b w:val="0"/>
          <w:spacing w:val="-4"/>
          <w:sz w:val="32"/>
          <w:szCs w:val="32"/>
        </w:rPr>
      </w:pPr>
    </w:p>
    <w:p w14:paraId="59BA0E15">
      <w:pPr>
        <w:spacing w:line="540" w:lineRule="exact"/>
        <w:ind w:firstLine="567"/>
        <w:rPr>
          <w:rStyle w:val="19"/>
          <w:rFonts w:ascii="仿宋" w:hAnsi="仿宋" w:eastAsia="仿宋"/>
          <w:b w:val="0"/>
          <w:spacing w:val="-4"/>
          <w:sz w:val="32"/>
          <w:szCs w:val="32"/>
        </w:rPr>
      </w:pPr>
    </w:p>
    <w:p w14:paraId="4867E579">
      <w:pPr>
        <w:spacing w:line="540" w:lineRule="exact"/>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D97FAFB-648C-4728-B6D9-4DFE180598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5675E75-41BF-454E-AE0D-8B6AA4AB5C2B}"/>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2D17C392-496E-4555-B3E9-084A40CB6CBD}"/>
  </w:font>
  <w:font w:name="华文中宋">
    <w:panose1 w:val="02010600040101010101"/>
    <w:charset w:val="86"/>
    <w:family w:val="auto"/>
    <w:pitch w:val="default"/>
    <w:sig w:usb0="00000287" w:usb1="080F0000" w:usb2="00000000" w:usb3="00000000" w:csb0="0004009F" w:csb1="DFD70000"/>
    <w:embedRegular r:id="rId4" w:fontKey="{96344D0D-D591-4472-8DC7-5241CBD1E73F}"/>
  </w:font>
  <w:font w:name="方正小标宋_GBK">
    <w:panose1 w:val="02000000000000000000"/>
    <w:charset w:val="86"/>
    <w:family w:val="script"/>
    <w:pitch w:val="default"/>
    <w:sig w:usb0="A00002BF" w:usb1="38CF7CFA" w:usb2="00082016" w:usb3="00000000" w:csb0="00040001" w:csb1="00000000"/>
    <w:embedRegular r:id="rId5" w:fontKey="{9CF54C35-3553-439E-8215-68BA2F47D99F}"/>
  </w:font>
  <w:font w:name="仿宋_GB2312">
    <w:panose1 w:val="02010609030101010101"/>
    <w:charset w:val="86"/>
    <w:family w:val="modern"/>
    <w:pitch w:val="default"/>
    <w:sig w:usb0="00000001" w:usb1="080E0000" w:usb2="00000000" w:usb3="00000000" w:csb0="00040000" w:csb1="00000000"/>
    <w:embedRegular r:id="rId6" w:fontKey="{E4E72E46-C1C0-4CC1-A3A1-EEE9605EC8D0}"/>
  </w:font>
  <w:font w:name="楷体">
    <w:panose1 w:val="02010609060101010101"/>
    <w:charset w:val="86"/>
    <w:family w:val="modern"/>
    <w:pitch w:val="default"/>
    <w:sig w:usb0="800002BF" w:usb1="38CF7CFA" w:usb2="00000016" w:usb3="00000000" w:csb0="00040001" w:csb1="00000000"/>
    <w:embedRegular r:id="rId7" w:fontKey="{085FBD7A-D73B-44C1-BDE6-380FA833507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407C2FA6">
        <w:pPr>
          <w:pStyle w:val="12"/>
          <w:jc w:val="center"/>
        </w:pPr>
        <w:r>
          <w:fldChar w:fldCharType="begin"/>
        </w:r>
        <w:r>
          <w:instrText xml:space="preserve">PAGE   \* MERGEFORMAT</w:instrText>
        </w:r>
        <w:r>
          <w:fldChar w:fldCharType="separate"/>
        </w:r>
        <w:r>
          <w:rPr>
            <w:lang w:val="zh-CN"/>
          </w:rPr>
          <w:t>1</w:t>
        </w:r>
        <w:r>
          <w:fldChar w:fldCharType="end"/>
        </w:r>
      </w:p>
    </w:sdtContent>
  </w:sdt>
  <w:p w14:paraId="53E478E8">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B9D49FD"/>
    <w:rsid w:val="36AE629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

<file path=customXml/itemProps1.xml><?xml version="1.0" encoding="utf-8"?>
<ds:datastoreItem xmlns:ds="http://schemas.openxmlformats.org/officeDocument/2006/customXml" ds:itemID="{c4d543b1-a055-4626-96e4-851a56618ac7}">
  <ds:schemaRefs/>
</ds:datastoreItem>
</file>

<file path=docProps/app.xml><?xml version="1.0" encoding="utf-8"?>
<Properties xmlns="http://schemas.openxmlformats.org/officeDocument/2006/extended-properties" xmlns:vt="http://schemas.openxmlformats.org/officeDocument/2006/docPropsVTypes">
  <Template>Normal.dotm</Template>
  <Pages>26</Pages>
  <Words>4442</Words>
  <Characters>4550</Characters>
  <Lines>5</Lines>
  <Paragraphs>1</Paragraphs>
  <TotalTime>85</TotalTime>
  <ScaleCrop>false</ScaleCrop>
  <LinksUpToDate>false</LinksUpToDate>
  <CharactersWithSpaces>4581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雨。</cp:lastModifiedBy>
  <cp:lastPrinted>2018-12-31T10:56:00Z</cp:lastPrinted>
  <dcterms:modified xsi:type="dcterms:W3CDTF">2025-10-31T10:33:26Z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KSOTemplateDocerSaveRecord">
    <vt:lpwstr>eyJoZGlkIjoiZjZjY2YzNDY3YWM4YThjNjdkZTk2MDAwYjE2OGQzNDQiLCJ1c2VySWQiOiIzNzI2MDMzNTYifQ==</vt:lpwstr>
  </property>
  <property fmtid="{D5CDD505-2E9C-101B-9397-08002B2CF9AE}" pid="4" name="ICV">
    <vt:lpwstr>364C8BD724B7467D93B044748A310C4B_12</vt:lpwstr>
  </property>
</Properties>
</file>